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EB6" w:rsidRDefault="00DF1EB6" w:rsidP="00DF1EB6">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DF1EB6" w:rsidRDefault="00DF1EB6" w:rsidP="00DF1EB6">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DF1EB6" w:rsidRDefault="00DF1EB6" w:rsidP="00DF1EB6">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DF1EB6" w:rsidRDefault="00DF1EB6" w:rsidP="00DF1EB6">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717CCE" w:rsidRDefault="00DF1EB6" w:rsidP="00DF1EB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Trifles</w:t>
      </w:r>
    </w:p>
    <w:p w:rsidR="00717CCE" w:rsidRPr="00717CCE" w:rsidRDefault="00717CCE" w:rsidP="00717CCE">
      <w:pPr>
        <w:spacing w:after="0" w:line="480" w:lineRule="auto"/>
        <w:ind w:firstLine="720"/>
        <w:rPr>
          <w:rFonts w:ascii="Times New Roman" w:hAnsi="Times New Roman" w:cs="Times New Roman"/>
          <w:sz w:val="24"/>
          <w:szCs w:val="24"/>
        </w:rPr>
      </w:pPr>
      <w:r w:rsidRPr="00717CCE">
        <w:rPr>
          <w:rFonts w:ascii="Times New Roman" w:hAnsi="Times New Roman" w:cs="Times New Roman"/>
          <w:sz w:val="24"/>
          <w:szCs w:val="24"/>
        </w:rPr>
        <w:t>The play, Trifles, is about an unsolved murder case that is under investigation by the law holders in the society. The play is set in a male-dominated society where women are neglected and considered to be of little importance. The play, however, is a feminist classic that could very well have been the beginning of the movement, Feminism. The prominent themes in this play are Feminism and masculinity. The society in which the above play is set, men are considered to be thorough, analytical and intelligent, but this play depicts the opposite.</w:t>
      </w:r>
    </w:p>
    <w:p w:rsidR="00717CCE" w:rsidRPr="00DF1EB6" w:rsidRDefault="00717CCE" w:rsidP="00DF1EB6">
      <w:pPr>
        <w:spacing w:after="0" w:line="480" w:lineRule="auto"/>
        <w:rPr>
          <w:rFonts w:ascii="Times New Roman" w:hAnsi="Times New Roman" w:cs="Times New Roman"/>
          <w:b/>
          <w:sz w:val="24"/>
          <w:szCs w:val="24"/>
        </w:rPr>
      </w:pPr>
      <w:r w:rsidRPr="00DF1EB6">
        <w:rPr>
          <w:rFonts w:ascii="Times New Roman" w:hAnsi="Times New Roman" w:cs="Times New Roman"/>
          <w:b/>
          <w:sz w:val="24"/>
          <w:szCs w:val="24"/>
        </w:rPr>
        <w:t>Feminism</w:t>
      </w:r>
    </w:p>
    <w:p w:rsidR="00B52B80" w:rsidRDefault="00717CCE" w:rsidP="00717CCE">
      <w:pPr>
        <w:spacing w:after="0" w:line="480" w:lineRule="auto"/>
        <w:ind w:firstLine="720"/>
        <w:rPr>
          <w:rFonts w:ascii="Times New Roman" w:hAnsi="Times New Roman" w:cs="Times New Roman"/>
          <w:sz w:val="24"/>
          <w:szCs w:val="24"/>
        </w:rPr>
      </w:pPr>
      <w:r w:rsidRPr="00717CCE">
        <w:rPr>
          <w:rFonts w:ascii="Times New Roman" w:hAnsi="Times New Roman" w:cs="Times New Roman"/>
          <w:sz w:val="24"/>
          <w:szCs w:val="24"/>
        </w:rPr>
        <w:t xml:space="preserve">Mrs. Hale and Mrs. Peters accompany their husbands to Minnie's house, which is the scene of the crime, to pick out a few things that would make her comfortable in jail, an otherwise unimportant role. The men do not pay much attention to them, and even point out that women are used to worrying about little things. Hale says, "Well, women are used to worrying over trifles." However, the women end up unearthing evidence that explains the reasons behind the murder of Mr. John Wright. The men in the play are depicted as sexist as they begin by criticizing the home keeping skills of Mrs. Wright. The county attorney points out that the house is not cheerful, to which Mrs. Hale counters by adding that Mr. Wright did not seem to possess the homemaking instincts either as Mr. John Wright was not any more cheerful. Mrs. Hale considers that the homemaking skills do not solely rely on the woman and brushes off the idea that only a woman would be blameworthy for the hollowness of a home. She hates the sarcastic </w:t>
      </w:r>
      <w:r w:rsidRPr="00717CCE">
        <w:rPr>
          <w:rFonts w:ascii="Times New Roman" w:hAnsi="Times New Roman" w:cs="Times New Roman"/>
          <w:sz w:val="24"/>
          <w:szCs w:val="24"/>
        </w:rPr>
        <w:lastRenderedPageBreak/>
        <w:t xml:space="preserve">manner in which Mr. Henderson speaks of Minnie and his criticizing her of the situation of her kitchen, saying, "I'd hate to have men coming into my kitchen, snooping around and criticizing." Mrs. Hale defends Minnie when the county attorney points out the dirty towels in the kitchen; this depicts female solidarity. As the two women move about the house searching for things to take to Mrs. Wright in jail, Mrs. Hale talks about how sweet and pretty Minnie was, just like a bird. They assume this would have been the reason that Minnie would have wanted to keep a bird. The men in the play criticize the women for focusing on trifles and meaningless things, but this character ironically helps solve the murder case. Mrs. Hale wonders whether Minnie may have been nervous about something by merely focusing on the sewing that she had been working on. </w:t>
      </w:r>
    </w:p>
    <w:p w:rsidR="00717CCE" w:rsidRPr="00717CCE" w:rsidRDefault="00717CCE" w:rsidP="00717CCE">
      <w:pPr>
        <w:spacing w:after="0" w:line="480" w:lineRule="auto"/>
        <w:ind w:firstLine="720"/>
        <w:rPr>
          <w:rFonts w:ascii="Times New Roman" w:hAnsi="Times New Roman" w:cs="Times New Roman"/>
          <w:sz w:val="24"/>
          <w:szCs w:val="24"/>
        </w:rPr>
      </w:pPr>
      <w:bookmarkStart w:id="0" w:name="_GoBack"/>
      <w:bookmarkEnd w:id="0"/>
      <w:r w:rsidRPr="00717CCE">
        <w:rPr>
          <w:rFonts w:ascii="Times New Roman" w:hAnsi="Times New Roman" w:cs="Times New Roman"/>
          <w:sz w:val="24"/>
          <w:szCs w:val="24"/>
        </w:rPr>
        <w:t>The women also talk about Mr. Wright, noting that he was a difficult man and that Minnie must have been lonely. She says, "But he was a hard man, Mrs. Peters. Just to pass the time of day with him- like a raw wind that gets to the bone." Mrs. Hale and Mrs. Peters both acknowledge that it gets pretty lonely and understand how vital the bird must have been to Minnie. Mrs. Peters relates Minnie's loneliness after her bird was killed, with the death of her firstborn baby in Dakota, the stillness she felt following that loss</w:t>
      </w:r>
      <w:r w:rsidR="00CC6D4E">
        <w:rPr>
          <w:rFonts w:ascii="Times New Roman" w:hAnsi="Times New Roman" w:cs="Times New Roman"/>
          <w:sz w:val="24"/>
          <w:szCs w:val="24"/>
        </w:rPr>
        <w:t xml:space="preserve"> (Susan 321)</w:t>
      </w:r>
      <w:r w:rsidRPr="00717CCE">
        <w:rPr>
          <w:rFonts w:ascii="Times New Roman" w:hAnsi="Times New Roman" w:cs="Times New Roman"/>
          <w:sz w:val="24"/>
          <w:szCs w:val="24"/>
        </w:rPr>
        <w:t xml:space="preserve">. Mrs. Hale recounts the earlier years of Minnie Foster, noting that she was happy and jovial while she sang in the choir. She acknowledges that Minnie may have been going through something, noting that that was the life of many women; that they live close together yet so far apart. Without meaning to, the women solve the murder mystery by paying attention to the little things. They find incriminating evidence against Mrs. Wright but choose to keep it between themselves, another sign of female solidarity. While the men went to the house with a plan to find evidence to prove that Minnie Foster killed her husband, the women have a more pressing agenda to comprehend </w:t>
      </w:r>
      <w:r w:rsidRPr="00717CCE">
        <w:rPr>
          <w:rFonts w:ascii="Times New Roman" w:hAnsi="Times New Roman" w:cs="Times New Roman"/>
          <w:sz w:val="24"/>
          <w:szCs w:val="24"/>
        </w:rPr>
        <w:lastRenderedPageBreak/>
        <w:t>the emotional state that could have driven her to kill her husband. The play attempts to show the psychological trauma that women go through in a male-dominated society that leads them to desire freedom and revolt against the system that discriminates against them. Relating to the loneli</w:t>
      </w:r>
      <w:r>
        <w:rPr>
          <w:rFonts w:ascii="Times New Roman" w:hAnsi="Times New Roman" w:cs="Times New Roman"/>
          <w:sz w:val="24"/>
          <w:szCs w:val="24"/>
        </w:rPr>
        <w:t>ness that women experience, Mrs. Peters and Mrs. Hale</w:t>
      </w:r>
      <w:r w:rsidRPr="00717CCE">
        <w:rPr>
          <w:rFonts w:ascii="Times New Roman" w:hAnsi="Times New Roman" w:cs="Times New Roman"/>
          <w:sz w:val="24"/>
          <w:szCs w:val="24"/>
        </w:rPr>
        <w:t xml:space="preserve"> break the law by hiding evidence that would otherwise incriminate Mrs. Wright.</w:t>
      </w:r>
    </w:p>
    <w:p w:rsidR="00717CCE" w:rsidRPr="00DF1EB6" w:rsidRDefault="00717CCE" w:rsidP="00DF1EB6">
      <w:pPr>
        <w:spacing w:after="0" w:line="480" w:lineRule="auto"/>
        <w:rPr>
          <w:rFonts w:ascii="Times New Roman" w:hAnsi="Times New Roman" w:cs="Times New Roman"/>
          <w:b/>
          <w:sz w:val="24"/>
          <w:szCs w:val="24"/>
        </w:rPr>
      </w:pPr>
      <w:r w:rsidRPr="00DF1EB6">
        <w:rPr>
          <w:rFonts w:ascii="Times New Roman" w:hAnsi="Times New Roman" w:cs="Times New Roman"/>
          <w:b/>
          <w:sz w:val="24"/>
          <w:szCs w:val="24"/>
        </w:rPr>
        <w:t>Justice and Judgment</w:t>
      </w:r>
    </w:p>
    <w:p w:rsidR="00B52B80" w:rsidRDefault="00717CCE" w:rsidP="00717CCE">
      <w:pPr>
        <w:spacing w:after="0" w:line="480" w:lineRule="auto"/>
        <w:ind w:firstLine="720"/>
        <w:rPr>
          <w:rFonts w:ascii="Times New Roman" w:hAnsi="Times New Roman" w:cs="Times New Roman"/>
          <w:sz w:val="24"/>
          <w:szCs w:val="24"/>
        </w:rPr>
      </w:pPr>
      <w:r w:rsidRPr="00717CCE">
        <w:rPr>
          <w:rFonts w:ascii="Times New Roman" w:hAnsi="Times New Roman" w:cs="Times New Roman"/>
          <w:sz w:val="24"/>
          <w:szCs w:val="24"/>
        </w:rPr>
        <w:t xml:space="preserve">In this male-dominated society, men are the law enforcers. They believe that crime should be punished, as does Mrs. Peters at first. Rather than digging into the emotional background of Mrs. Wright, the two men follow a methodological approach of trying to find physical evidence against Mrs. Wright. The county attorney and the sheriff go to Mrs. Wright's house with an agenda to find incriminating against her. The county attorney satirizes the fact that Mrs. Wright is worried about her preserves and indicates that by the end of the investigation, she is set to have more pressing matters to worry about. This </w:t>
      </w:r>
      <w:r w:rsidR="00AD68BB">
        <w:rPr>
          <w:rFonts w:ascii="Times New Roman" w:hAnsi="Times New Roman" w:cs="Times New Roman"/>
          <w:sz w:val="24"/>
          <w:szCs w:val="24"/>
        </w:rPr>
        <w:t xml:space="preserve">fact </w:t>
      </w:r>
      <w:r w:rsidRPr="00717CCE">
        <w:rPr>
          <w:rFonts w:ascii="Times New Roman" w:hAnsi="Times New Roman" w:cs="Times New Roman"/>
          <w:sz w:val="24"/>
          <w:szCs w:val="24"/>
        </w:rPr>
        <w:t xml:space="preserve">shows his desire to punish Mrs. Wright for the crime. The men believe themselves to be analytical and intelligent while the women have less critical things on their minds. Mrs. Hale and Mrs. Peters bring forth a different perspective: they focus on the reason why Mrs. Wright is driven to strangle her husband. The ladies seek to understand Mrs. Wright's emotional trauma, and in their eyes, Minnie's crime is justified. </w:t>
      </w:r>
    </w:p>
    <w:p w:rsidR="00717CCE" w:rsidRPr="00717CCE" w:rsidRDefault="00717CCE" w:rsidP="00717CCE">
      <w:pPr>
        <w:spacing w:after="0" w:line="480" w:lineRule="auto"/>
        <w:ind w:firstLine="720"/>
        <w:rPr>
          <w:rFonts w:ascii="Times New Roman" w:hAnsi="Times New Roman" w:cs="Times New Roman"/>
          <w:sz w:val="24"/>
          <w:szCs w:val="24"/>
        </w:rPr>
      </w:pPr>
      <w:r w:rsidRPr="00717CCE">
        <w:rPr>
          <w:rFonts w:ascii="Times New Roman" w:hAnsi="Times New Roman" w:cs="Times New Roman"/>
          <w:sz w:val="24"/>
          <w:szCs w:val="24"/>
        </w:rPr>
        <w:t xml:space="preserve">The women fail to present evidence to the county attorney and sheriff which would otherwise be seen as a crime. The men do not dwell on the reasons why Mrs. Wright committed the crime but only sought to unearth evidence against her. They take on the approach that she must be punished for the crime. Women, on the other hand, are not involved in the process of investigation. The question of whether they should follow the law of the system that neglects </w:t>
      </w:r>
      <w:r w:rsidRPr="00717CCE">
        <w:rPr>
          <w:rFonts w:ascii="Times New Roman" w:hAnsi="Times New Roman" w:cs="Times New Roman"/>
          <w:sz w:val="24"/>
          <w:szCs w:val="24"/>
        </w:rPr>
        <w:lastRenderedPageBreak/>
        <w:t>them arises. In their eyes, Mrs. Wright is a victim of the system. Mrs. Hale describes John Wright as a difficult man who keeps to himself. They find out that Mr. Wright strangled the bird, which must have meant a lot to Minnie Foster and drove her to strangle him in the same way. Mrs. Hale acknowledges that Mrs. Wright was lonely and regrets that she never visited her. She asks: Who is going to punish her for that crime?</w:t>
      </w:r>
    </w:p>
    <w:p w:rsidR="00717CCE" w:rsidRPr="00717CCE" w:rsidRDefault="00717CCE" w:rsidP="00DF1EB6">
      <w:pPr>
        <w:spacing w:after="0" w:line="480" w:lineRule="auto"/>
        <w:ind w:firstLine="720"/>
        <w:jc w:val="center"/>
        <w:rPr>
          <w:rFonts w:ascii="Times New Roman" w:hAnsi="Times New Roman" w:cs="Times New Roman"/>
          <w:sz w:val="24"/>
          <w:szCs w:val="24"/>
        </w:rPr>
      </w:pPr>
      <w:r w:rsidRPr="00717CCE">
        <w:rPr>
          <w:rFonts w:ascii="Times New Roman" w:hAnsi="Times New Roman" w:cs="Times New Roman"/>
          <w:sz w:val="24"/>
          <w:szCs w:val="24"/>
        </w:rPr>
        <w:t>Conclusion</w:t>
      </w:r>
    </w:p>
    <w:p w:rsidR="00410603" w:rsidRDefault="00717CCE" w:rsidP="00717CCE">
      <w:pPr>
        <w:spacing w:after="0" w:line="480" w:lineRule="auto"/>
        <w:ind w:firstLine="720"/>
        <w:rPr>
          <w:rFonts w:ascii="Times New Roman" w:hAnsi="Times New Roman" w:cs="Times New Roman"/>
          <w:sz w:val="24"/>
          <w:szCs w:val="24"/>
        </w:rPr>
      </w:pPr>
      <w:r w:rsidRPr="00717CCE">
        <w:rPr>
          <w:rFonts w:ascii="Times New Roman" w:hAnsi="Times New Roman" w:cs="Times New Roman"/>
          <w:sz w:val="24"/>
          <w:szCs w:val="24"/>
        </w:rPr>
        <w:t>The themes discussed above depict the kind of society that the play was set in. It was a male-dominated society that drove women to revolt against the system. They are victims of emotional abuse and neglect, and Mrs. Wright falls prey. The women, in turn, star as the ones who piece the murder mystery. They choose to rebel against the law that is guarded by men. The play showcases female solidarity and awareness of Feminism. The theme of justice and judgment is viewed differently by men and women. It is compromised by the fact that women have been abused by the system and therefore see things differently. The men, on the other hand, are the guardians of the law, and this privilege makes them blind to the emotional abuse that women have been subjected to overtime.</w:t>
      </w:r>
    </w:p>
    <w:p w:rsidR="00475F05" w:rsidRDefault="00475F05">
      <w:pPr>
        <w:rPr>
          <w:rFonts w:ascii="Times New Roman" w:hAnsi="Times New Roman" w:cs="Times New Roman"/>
          <w:sz w:val="24"/>
          <w:szCs w:val="24"/>
        </w:rPr>
      </w:pPr>
      <w:r>
        <w:rPr>
          <w:rFonts w:ascii="Times New Roman" w:hAnsi="Times New Roman" w:cs="Times New Roman"/>
          <w:sz w:val="24"/>
          <w:szCs w:val="24"/>
        </w:rPr>
        <w:br w:type="page"/>
      </w:r>
    </w:p>
    <w:p w:rsidR="00475F05" w:rsidRDefault="00475F05" w:rsidP="00475F0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475F05" w:rsidRDefault="00475F05" w:rsidP="00475F05">
      <w:pPr>
        <w:spacing w:after="0" w:line="480" w:lineRule="auto"/>
        <w:rPr>
          <w:rFonts w:ascii="Times New Roman" w:hAnsi="Times New Roman" w:cs="Times New Roman"/>
          <w:sz w:val="24"/>
          <w:szCs w:val="24"/>
        </w:rPr>
      </w:pPr>
      <w:r w:rsidRPr="00475F05">
        <w:rPr>
          <w:rFonts w:ascii="Times New Roman" w:hAnsi="Times New Roman" w:cs="Times New Roman"/>
          <w:sz w:val="24"/>
          <w:szCs w:val="24"/>
        </w:rPr>
        <w:t>Glaspell, Susan. Trifles. Baker's Plays, 2010</w:t>
      </w:r>
    </w:p>
    <w:p w:rsidR="00475F05" w:rsidRPr="00717CCE" w:rsidRDefault="00475F05" w:rsidP="00475F05">
      <w:pPr>
        <w:spacing w:after="0" w:line="480" w:lineRule="auto"/>
        <w:rPr>
          <w:rFonts w:ascii="Times New Roman" w:hAnsi="Times New Roman" w:cs="Times New Roman"/>
          <w:sz w:val="24"/>
          <w:szCs w:val="24"/>
        </w:rPr>
      </w:pPr>
    </w:p>
    <w:sectPr w:rsidR="00475F05" w:rsidRPr="00717CC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FC8" w:rsidRDefault="00ED6FC8" w:rsidP="00475F05">
      <w:pPr>
        <w:spacing w:after="0" w:line="240" w:lineRule="auto"/>
      </w:pPr>
      <w:r>
        <w:separator/>
      </w:r>
    </w:p>
  </w:endnote>
  <w:endnote w:type="continuationSeparator" w:id="0">
    <w:p w:rsidR="00ED6FC8" w:rsidRDefault="00ED6FC8" w:rsidP="00475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FC8" w:rsidRDefault="00ED6FC8" w:rsidP="00475F05">
      <w:pPr>
        <w:spacing w:after="0" w:line="240" w:lineRule="auto"/>
      </w:pPr>
      <w:r>
        <w:separator/>
      </w:r>
    </w:p>
  </w:footnote>
  <w:footnote w:type="continuationSeparator" w:id="0">
    <w:p w:rsidR="00ED6FC8" w:rsidRDefault="00ED6FC8" w:rsidP="00475F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F05" w:rsidRPr="00475F05" w:rsidRDefault="00475F05" w:rsidP="00475F05">
    <w:pPr>
      <w:pStyle w:val="Header"/>
      <w:jc w:val="right"/>
      <w:rPr>
        <w:rFonts w:ascii="Times New Roman" w:hAnsi="Times New Roman" w:cs="Times New Roman"/>
        <w:sz w:val="24"/>
      </w:rPr>
    </w:pPr>
    <w:r w:rsidRPr="00475F05">
      <w:rPr>
        <w:rFonts w:ascii="Times New Roman" w:hAnsi="Times New Roman" w:cs="Times New Roman"/>
        <w:sz w:val="24"/>
      </w:rPr>
      <w:t xml:space="preserve">Surname </w:t>
    </w:r>
    <w:sdt>
      <w:sdtPr>
        <w:rPr>
          <w:rFonts w:ascii="Times New Roman" w:hAnsi="Times New Roman" w:cs="Times New Roman"/>
          <w:sz w:val="24"/>
        </w:rPr>
        <w:id w:val="1229655936"/>
        <w:docPartObj>
          <w:docPartGallery w:val="Page Numbers (Top of Page)"/>
          <w:docPartUnique/>
        </w:docPartObj>
      </w:sdtPr>
      <w:sdtEndPr>
        <w:rPr>
          <w:noProof/>
        </w:rPr>
      </w:sdtEndPr>
      <w:sdtContent>
        <w:r w:rsidRPr="00475F05">
          <w:rPr>
            <w:rFonts w:ascii="Times New Roman" w:hAnsi="Times New Roman" w:cs="Times New Roman"/>
            <w:sz w:val="24"/>
          </w:rPr>
          <w:fldChar w:fldCharType="begin"/>
        </w:r>
        <w:r w:rsidRPr="00475F05">
          <w:rPr>
            <w:rFonts w:ascii="Times New Roman" w:hAnsi="Times New Roman" w:cs="Times New Roman"/>
            <w:sz w:val="24"/>
          </w:rPr>
          <w:instrText xml:space="preserve"> PAGE   \* MERGEFORMAT </w:instrText>
        </w:r>
        <w:r w:rsidRPr="00475F05">
          <w:rPr>
            <w:rFonts w:ascii="Times New Roman" w:hAnsi="Times New Roman" w:cs="Times New Roman"/>
            <w:sz w:val="24"/>
          </w:rPr>
          <w:fldChar w:fldCharType="separate"/>
        </w:r>
        <w:r w:rsidR="00B52B80">
          <w:rPr>
            <w:rFonts w:ascii="Times New Roman" w:hAnsi="Times New Roman" w:cs="Times New Roman"/>
            <w:noProof/>
            <w:sz w:val="24"/>
          </w:rPr>
          <w:t>4</w:t>
        </w:r>
        <w:r w:rsidRPr="00475F05">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CCE"/>
    <w:rsid w:val="002E243C"/>
    <w:rsid w:val="00410603"/>
    <w:rsid w:val="00475F05"/>
    <w:rsid w:val="00717CCE"/>
    <w:rsid w:val="00751F75"/>
    <w:rsid w:val="00AD68BB"/>
    <w:rsid w:val="00B52B80"/>
    <w:rsid w:val="00CC6D4E"/>
    <w:rsid w:val="00DF1EB6"/>
    <w:rsid w:val="00ED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D74AB7-9C06-49B0-90E2-8597C7F73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F05"/>
  </w:style>
  <w:style w:type="paragraph" w:styleId="Footer">
    <w:name w:val="footer"/>
    <w:basedOn w:val="Normal"/>
    <w:link w:val="FooterChar"/>
    <w:uiPriority w:val="99"/>
    <w:unhideWhenUsed/>
    <w:rsid w:val="00475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4</cp:revision>
  <dcterms:created xsi:type="dcterms:W3CDTF">2020-06-11T16:22:00Z</dcterms:created>
  <dcterms:modified xsi:type="dcterms:W3CDTF">2020-06-12T16:52:00Z</dcterms:modified>
</cp:coreProperties>
</file>